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130.85pt;mso-position-horizontal-relative:page;mso-position-vertical-relative:page;z-index:-3280" coordorigin="0,0" coordsize="11906,2617">
            <v:shape style="position:absolute;left:2024;top:0;width:9882;height:2382" type="#_x0000_t75" stroked="false">
              <v:imagedata r:id="rId5" o:title=""/>
            </v:shape>
            <v:rect style="position:absolute;left:0;top:2163;width:11906;height:454" filled="true" fillcolor="#9f1d35" stroked="false">
              <v:fill type="solid"/>
            </v:rect>
            <v:shape style="position:absolute;left:410;top:311;width:1942;height:1659" type="#_x0000_t75" stroked="false">
              <v:imagedata r:id="rId6" o:title=""/>
            </v:shape>
            <v:shapetype id="_x0000_t202" o:spt="202" coordsize="21600,21600" path="m,l,21600r21600,l21600,xe">
              <v:stroke joinstyle="miter"/>
              <v:path gradientshapeok="t" o:connecttype="rect"/>
            </v:shapetype>
            <v:shape style="position:absolute;left:2466;top:359;width:8803;height:1538" type="#_x0000_t202" filled="false" stroked="false">
              <v:textbox inset="0,0,0,0">
                <w:txbxContent>
                  <w:p>
                    <w:pPr>
                      <w:spacing w:before="4"/>
                      <w:ind w:left="0" w:right="0" w:firstLine="0"/>
                      <w:jc w:val="left"/>
                      <w:rPr>
                        <w:rFonts w:ascii="Arial Narrow"/>
                        <w:b/>
                        <w:sz w:val="134"/>
                      </w:rPr>
                    </w:pPr>
                    <w:r>
                      <w:rPr>
                        <w:rFonts w:ascii="Arial Narrow"/>
                        <w:b/>
                        <w:color w:val="003593"/>
                        <w:spacing w:val="-27"/>
                        <w:sz w:val="134"/>
                        <w:shd w:fill="FFFFFF" w:color="auto" w:val="clear"/>
                      </w:rPr>
                      <w:t>CFI </w:t>
                    </w:r>
                    <w:r>
                      <w:rPr>
                        <w:rFonts w:ascii="Arial Narrow"/>
                        <w:b/>
                        <w:color w:val="9F1D35"/>
                        <w:spacing w:val="-30"/>
                        <w:sz w:val="134"/>
                        <w:shd w:fill="FFFFFF" w:color="auto" w:val="clear"/>
                      </w:rPr>
                      <w:t>News</w:t>
                    </w:r>
                    <w:r>
                      <w:rPr>
                        <w:rFonts w:ascii="Arial Narrow"/>
                        <w:b/>
                        <w:color w:val="9F1D35"/>
                        <w:spacing w:val="-134"/>
                        <w:sz w:val="134"/>
                        <w:shd w:fill="FFFFFF" w:color="auto" w:val="clear"/>
                      </w:rPr>
                      <w:t> </w:t>
                    </w:r>
                    <w:r>
                      <w:rPr>
                        <w:rFonts w:ascii="Arial Narrow"/>
                        <w:b/>
                        <w:color w:val="9F1D35"/>
                        <w:spacing w:val="-41"/>
                        <w:sz w:val="134"/>
                        <w:shd w:fill="FFFFFF" w:color="auto" w:val="clear"/>
                      </w:rPr>
                      <w:t>Insights</w:t>
                    </w:r>
                  </w:p>
                </w:txbxContent>
              </v:textbox>
              <w10:wrap type="none"/>
            </v:shape>
            <v:shape style="position:absolute;left:680;top:2227;width:3228;height:291" type="#_x0000_t202" filled="false" stroked="false">
              <v:textbox inset="0,0,0,0">
                <w:txbxContent>
                  <w:p>
                    <w:pPr>
                      <w:spacing w:line="290" w:lineRule="exact" w:before="0"/>
                      <w:ind w:left="0" w:right="0" w:firstLine="0"/>
                      <w:jc w:val="left"/>
                      <w:rPr>
                        <w:b/>
                        <w:sz w:val="26"/>
                      </w:rPr>
                    </w:pPr>
                    <w:r>
                      <w:rPr>
                        <w:b/>
                        <w:color w:val="FFFFFF"/>
                        <w:sz w:val="26"/>
                      </w:rPr>
                      <w:t>Christian Friends of Israel</w:t>
                    </w:r>
                  </w:p>
                </w:txbxContent>
              </v:textbox>
              <w10:wrap type="none"/>
            </v:shape>
            <v:shape style="position:absolute;left:4501;top:2227;width:3410;height:291" type="#_x0000_t202" filled="false" stroked="false">
              <v:textbox inset="0,0,0,0">
                <w:txbxContent>
                  <w:p>
                    <w:pPr>
                      <w:spacing w:line="290" w:lineRule="exact" w:before="0"/>
                      <w:ind w:left="0" w:right="0" w:firstLine="0"/>
                      <w:jc w:val="left"/>
                      <w:rPr>
                        <w:b/>
                        <w:sz w:val="26"/>
                      </w:rPr>
                    </w:pPr>
                    <w:hyperlink r:id="rId7">
                      <w:r>
                        <w:rPr>
                          <w:b/>
                          <w:color w:val="FFFFFF"/>
                          <w:sz w:val="26"/>
                        </w:rPr>
                        <w:t>feedback@cfijerusalem.org</w:t>
                      </w:r>
                    </w:hyperlink>
                  </w:p>
                </w:txbxContent>
              </v:textbox>
              <w10:wrap type="none"/>
            </v:shape>
            <v:shape style="position:absolute;left:8537;top:2227;width:2709;height:291" type="#_x0000_t202" filled="false" stroked="false">
              <v:textbox inset="0,0,0,0">
                <w:txbxContent>
                  <w:p>
                    <w:pPr>
                      <w:spacing w:line="290" w:lineRule="exact" w:before="0"/>
                      <w:ind w:left="0" w:right="0" w:firstLine="0"/>
                      <w:jc w:val="left"/>
                      <w:rPr>
                        <w:b/>
                        <w:sz w:val="26"/>
                      </w:rPr>
                    </w:pPr>
                    <w:hyperlink r:id="rId8">
                      <w:r>
                        <w:rPr>
                          <w:b/>
                          <w:color w:val="FFFFFF"/>
                          <w:sz w:val="26"/>
                        </w:rPr>
                        <w:t>www.cfijerusalem.org</w:t>
                      </w:r>
                    </w:hyperlink>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spacing w:before="92"/>
        <w:ind w:left="7129" w:right="0" w:firstLine="0"/>
        <w:jc w:val="left"/>
        <w:rPr>
          <w:sz w:val="24"/>
        </w:rPr>
      </w:pPr>
      <w:r>
        <w:rPr>
          <w:sz w:val="24"/>
        </w:rPr>
        <w:t>June 10, 2021 /Jewish Year 5781</w:t>
      </w:r>
    </w:p>
    <w:p>
      <w:pPr>
        <w:spacing w:before="60"/>
        <w:ind w:left="106" w:right="0" w:firstLine="0"/>
        <w:jc w:val="left"/>
        <w:rPr>
          <w:b/>
          <w:sz w:val="72"/>
        </w:rPr>
      </w:pPr>
      <w:r>
        <w:rPr>
          <w:b/>
          <w:color w:val="003593"/>
          <w:sz w:val="72"/>
        </w:rPr>
        <w:t>Old Embers Stoke a New Fire:</w:t>
      </w:r>
    </w:p>
    <w:p>
      <w:pPr>
        <w:spacing w:line="216" w:lineRule="auto" w:before="108"/>
        <w:ind w:left="106" w:right="1486" w:firstLine="0"/>
        <w:jc w:val="left"/>
        <w:rPr>
          <w:b/>
          <w:sz w:val="52"/>
        </w:rPr>
      </w:pPr>
      <w:r>
        <w:rPr>
          <w:b/>
          <w:color w:val="003593"/>
          <w:sz w:val="52"/>
        </w:rPr>
        <w:t>Convergence of Flashpoints between Ancient Adversaries</w:t>
      </w:r>
    </w:p>
    <w:p>
      <w:pPr>
        <w:spacing w:line="359" w:lineRule="exact" w:before="0"/>
        <w:ind w:left="0" w:right="160" w:firstLine="0"/>
        <w:jc w:val="right"/>
        <w:rPr>
          <w:b/>
          <w:sz w:val="36"/>
        </w:rPr>
      </w:pPr>
      <w:r>
        <w:rPr>
          <w:b/>
          <w:sz w:val="36"/>
        </w:rPr>
        <w:t>Part 1 of 2</w:t>
      </w:r>
    </w:p>
    <w:p>
      <w:pPr>
        <w:pStyle w:val="BodyText"/>
        <w:spacing w:before="9"/>
        <w:rPr>
          <w:b/>
          <w:sz w:val="18"/>
        </w:rPr>
      </w:pPr>
    </w:p>
    <w:p>
      <w:pPr>
        <w:pStyle w:val="Heading2"/>
        <w:spacing w:line="237" w:lineRule="auto"/>
        <w:ind w:right="156"/>
        <w:jc w:val="both"/>
      </w:pPr>
      <w:r>
        <w:rPr/>
        <w:t>“Ashkelon will see it and fear; Gaza will writhe in pain, And Ekron, for her hope and expectation, has been</w:t>
      </w:r>
      <w:r>
        <w:rPr>
          <w:spacing w:val="-9"/>
        </w:rPr>
        <w:t> </w:t>
      </w:r>
      <w:r>
        <w:rPr/>
        <w:t>ruined.</w:t>
      </w:r>
      <w:r>
        <w:rPr>
          <w:spacing w:val="-9"/>
        </w:rPr>
        <w:t> </w:t>
      </w:r>
      <w:r>
        <w:rPr/>
        <w:t>The</w:t>
      </w:r>
      <w:r>
        <w:rPr>
          <w:spacing w:val="-9"/>
        </w:rPr>
        <w:t> </w:t>
      </w:r>
      <w:r>
        <w:rPr/>
        <w:t>king</w:t>
      </w:r>
      <w:r>
        <w:rPr>
          <w:spacing w:val="-10"/>
        </w:rPr>
        <w:t> </w:t>
      </w:r>
      <w:r>
        <w:rPr/>
        <w:t>will</w:t>
      </w:r>
      <w:r>
        <w:rPr>
          <w:spacing w:val="-9"/>
        </w:rPr>
        <w:t> </w:t>
      </w:r>
      <w:r>
        <w:rPr/>
        <w:t>perish</w:t>
      </w:r>
      <w:r>
        <w:rPr>
          <w:spacing w:val="-9"/>
        </w:rPr>
        <w:t> </w:t>
      </w:r>
      <w:r>
        <w:rPr/>
        <w:t>from</w:t>
      </w:r>
      <w:r>
        <w:rPr>
          <w:spacing w:val="-9"/>
        </w:rPr>
        <w:t> </w:t>
      </w:r>
      <w:r>
        <w:rPr/>
        <w:t>Gaza,</w:t>
      </w:r>
      <w:r>
        <w:rPr>
          <w:spacing w:val="-17"/>
        </w:rPr>
        <w:t> </w:t>
      </w:r>
      <w:r>
        <w:rPr/>
        <w:t>And</w:t>
      </w:r>
      <w:r>
        <w:rPr>
          <w:spacing w:val="-18"/>
        </w:rPr>
        <w:t> </w:t>
      </w:r>
      <w:r>
        <w:rPr/>
        <w:t>Ashkelon</w:t>
      </w:r>
      <w:r>
        <w:rPr>
          <w:spacing w:val="-9"/>
        </w:rPr>
        <w:t> </w:t>
      </w:r>
      <w:r>
        <w:rPr/>
        <w:t>will</w:t>
      </w:r>
      <w:r>
        <w:rPr>
          <w:spacing w:val="-9"/>
        </w:rPr>
        <w:t> </w:t>
      </w:r>
      <w:r>
        <w:rPr/>
        <w:t>not</w:t>
      </w:r>
      <w:r>
        <w:rPr>
          <w:spacing w:val="-9"/>
        </w:rPr>
        <w:t> </w:t>
      </w:r>
      <w:r>
        <w:rPr/>
        <w:t>be</w:t>
      </w:r>
      <w:r>
        <w:rPr>
          <w:spacing w:val="-9"/>
        </w:rPr>
        <w:t> </w:t>
      </w:r>
      <w:r>
        <w:rPr/>
        <w:t>inhabited”</w:t>
      </w:r>
      <w:r>
        <w:rPr>
          <w:spacing w:val="-9"/>
        </w:rPr>
        <w:t> </w:t>
      </w:r>
      <w:r>
        <w:rPr/>
        <w:t>Zechariah</w:t>
      </w:r>
      <w:r>
        <w:rPr>
          <w:spacing w:val="-9"/>
        </w:rPr>
        <w:t> </w:t>
      </w:r>
      <w:r>
        <w:rPr/>
        <w:t>9:5</w:t>
      </w:r>
      <w:r>
        <w:rPr>
          <w:spacing w:val="-9"/>
        </w:rPr>
        <w:t> </w:t>
      </w:r>
      <w:r>
        <w:rPr/>
        <w:t>(AMP).</w:t>
      </w:r>
    </w:p>
    <w:p>
      <w:pPr>
        <w:pStyle w:val="BodyText"/>
        <w:spacing w:before="7"/>
        <w:rPr>
          <w:rFonts w:ascii="Arial-BoldItalicMT"/>
          <w:b/>
          <w:i/>
          <w:sz w:val="21"/>
        </w:rPr>
      </w:pPr>
    </w:p>
    <w:p>
      <w:pPr>
        <w:pStyle w:val="BodyText"/>
        <w:spacing w:line="237" w:lineRule="auto"/>
        <w:ind w:left="120" w:right="152"/>
        <w:jc w:val="both"/>
      </w:pPr>
      <w:r>
        <w:rPr/>
        <w:t>During President Trump’s tenure, the terror activity from Palestinian Gaza had almost come to a halt. There was a stabbing here, maybe a car ramming there, that was motivated by sectarian </w:t>
      </w:r>
      <w:r>
        <w:rPr>
          <w:spacing w:val="-3"/>
        </w:rPr>
        <w:t>enmity, </w:t>
      </w:r>
      <w:r>
        <w:rPr/>
        <w:t>but it has been remarkably quiet for many months within the borders of Israel. That is, until the past month. So much has happened within the Israeli-Palestinian context, that it will require 2 Insights to give the topic justice. In this segment,</w:t>
      </w:r>
      <w:r>
        <w:rPr>
          <w:spacing w:val="-24"/>
        </w:rPr>
        <w:t> </w:t>
      </w:r>
      <w:r>
        <w:rPr/>
        <w:t>I</w:t>
      </w:r>
      <w:r>
        <w:rPr>
          <w:spacing w:val="-24"/>
        </w:rPr>
        <w:t> </w:t>
      </w:r>
      <w:r>
        <w:rPr>
          <w:spacing w:val="-3"/>
        </w:rPr>
        <w:t>will</w:t>
      </w:r>
      <w:r>
        <w:rPr>
          <w:spacing w:val="-24"/>
        </w:rPr>
        <w:t> </w:t>
      </w:r>
      <w:r>
        <w:rPr/>
        <w:t>summarize</w:t>
      </w:r>
      <w:r>
        <w:rPr>
          <w:spacing w:val="-24"/>
        </w:rPr>
        <w:t> </w:t>
      </w:r>
      <w:r>
        <w:rPr/>
        <w:t>the</w:t>
      </w:r>
      <w:r>
        <w:rPr>
          <w:spacing w:val="-24"/>
        </w:rPr>
        <w:t> </w:t>
      </w:r>
      <w:r>
        <w:rPr/>
        <w:t>military</w:t>
      </w:r>
      <w:r>
        <w:rPr>
          <w:spacing w:val="-24"/>
        </w:rPr>
        <w:t> </w:t>
      </w:r>
      <w:r>
        <w:rPr/>
        <w:t>conflict</w:t>
      </w:r>
      <w:r>
        <w:rPr>
          <w:spacing w:val="-24"/>
        </w:rPr>
        <w:t> </w:t>
      </w:r>
      <w:r>
        <w:rPr>
          <w:spacing w:val="-3"/>
        </w:rPr>
        <w:t>between</w:t>
      </w:r>
      <w:r>
        <w:rPr>
          <w:spacing w:val="-24"/>
        </w:rPr>
        <w:t> </w:t>
      </w:r>
      <w:r>
        <w:rPr/>
        <w:t>the</w:t>
      </w:r>
      <w:r>
        <w:rPr>
          <w:spacing w:val="-24"/>
        </w:rPr>
        <w:t> </w:t>
      </w:r>
      <w:r>
        <w:rPr/>
        <w:t>IDF</w:t>
      </w:r>
      <w:r>
        <w:rPr>
          <w:spacing w:val="-24"/>
        </w:rPr>
        <w:t> </w:t>
      </w:r>
      <w:r>
        <w:rPr/>
        <w:t>and</w:t>
      </w:r>
      <w:r>
        <w:rPr>
          <w:spacing w:val="-24"/>
        </w:rPr>
        <w:t> </w:t>
      </w:r>
      <w:r>
        <w:rPr>
          <w:spacing w:val="-3"/>
        </w:rPr>
        <w:t>Hamas/Jihad</w:t>
      </w:r>
      <w:r>
        <w:rPr>
          <w:spacing w:val="-24"/>
        </w:rPr>
        <w:t> </w:t>
      </w:r>
      <w:r>
        <w:rPr/>
        <w:t>to</w:t>
      </w:r>
      <w:r>
        <w:rPr>
          <w:spacing w:val="-24"/>
        </w:rPr>
        <w:t> </w:t>
      </w:r>
      <w:r>
        <w:rPr>
          <w:spacing w:val="-3"/>
        </w:rPr>
        <w:t>include</w:t>
      </w:r>
      <w:r>
        <w:rPr>
          <w:spacing w:val="-24"/>
        </w:rPr>
        <w:t> </w:t>
      </w:r>
      <w:r>
        <w:rPr/>
        <w:t>some</w:t>
      </w:r>
      <w:r>
        <w:rPr>
          <w:spacing w:val="-24"/>
        </w:rPr>
        <w:t> </w:t>
      </w:r>
      <w:r>
        <w:rPr>
          <w:spacing w:val="-3"/>
        </w:rPr>
        <w:t>unprecedented </w:t>
      </w:r>
      <w:r>
        <w:rPr/>
        <w:t>nuances this time around. In our next offing, I will focus more on the civilian conflicts that are taking place between Arab and Israeli Communities and the political forces that may have had sworn enemies scripting </w:t>
      </w:r>
      <w:r>
        <w:rPr>
          <w:spacing w:val="-3"/>
        </w:rPr>
        <w:t>behavior, </w:t>
      </w:r>
      <w:r>
        <w:rPr/>
        <w:t>to achieve internal political</w:t>
      </w:r>
      <w:r>
        <w:rPr>
          <w:spacing w:val="-2"/>
        </w:rPr>
        <w:t> </w:t>
      </w:r>
      <w:r>
        <w:rPr/>
        <w:t>leverage.</w:t>
      </w:r>
    </w:p>
    <w:p>
      <w:pPr>
        <w:pStyle w:val="BodyText"/>
        <w:spacing w:before="1"/>
        <w:rPr>
          <w:sz w:val="14"/>
        </w:rPr>
      </w:pPr>
      <w:r>
        <w:rPr/>
        <w:drawing>
          <wp:anchor distT="0" distB="0" distL="0" distR="0" allowOverlap="1" layoutInCell="1" locked="0" behindDoc="0" simplePos="0" relativeHeight="0">
            <wp:simplePos x="0" y="0"/>
            <wp:positionH relativeFrom="page">
              <wp:posOffset>432003</wp:posOffset>
            </wp:positionH>
            <wp:positionV relativeFrom="paragraph">
              <wp:posOffset>127891</wp:posOffset>
            </wp:positionV>
            <wp:extent cx="6726683" cy="2551652"/>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6726683" cy="2551652"/>
                    </a:xfrm>
                    <a:prstGeom prst="rect">
                      <a:avLst/>
                    </a:prstGeom>
                  </pic:spPr>
                </pic:pic>
              </a:graphicData>
            </a:graphic>
          </wp:anchor>
        </w:drawing>
      </w:r>
    </w:p>
    <w:p>
      <w:pPr>
        <w:spacing w:before="52"/>
        <w:ind w:left="111" w:right="0" w:firstLine="0"/>
        <w:jc w:val="left"/>
        <w:rPr>
          <w:i/>
          <w:sz w:val="16"/>
        </w:rPr>
      </w:pPr>
      <w:r>
        <w:rPr>
          <w:rFonts w:ascii="Arial-BoldItalicMT"/>
          <w:b/>
          <w:i/>
          <w:sz w:val="16"/>
        </w:rPr>
        <w:t>Gaza militants fired more than 2000 rockets into Israel </w:t>
      </w:r>
      <w:r>
        <w:rPr>
          <w:i/>
          <w:sz w:val="16"/>
        </w:rPr>
        <w:t>(YouTube)</w:t>
      </w:r>
    </w:p>
    <w:p>
      <w:pPr>
        <w:pStyle w:val="BodyText"/>
        <w:spacing w:before="5"/>
        <w:rPr>
          <w:i/>
          <w:sz w:val="14"/>
        </w:rPr>
      </w:pPr>
    </w:p>
    <w:p>
      <w:pPr>
        <w:pStyle w:val="Heading1"/>
      </w:pPr>
      <w:r>
        <w:rPr/>
        <w:t>Calendars Coincide</w:t>
      </w:r>
    </w:p>
    <w:p>
      <w:pPr>
        <w:pStyle w:val="Heading2"/>
        <w:spacing w:line="237" w:lineRule="auto" w:before="228"/>
        <w:ind w:right="158"/>
        <w:jc w:val="both"/>
      </w:pPr>
      <w:r>
        <w:rPr/>
        <w:t>“So I will send a fire [of war, conquest, and destruction] on the wall of Gaza And it shall consume her citadels” Amos 1:7 (AMP).</w:t>
      </w:r>
    </w:p>
    <w:p>
      <w:pPr>
        <w:pStyle w:val="BodyText"/>
        <w:spacing w:before="8"/>
        <w:rPr>
          <w:rFonts w:ascii="Arial-BoldItalicMT"/>
          <w:b/>
          <w:i/>
          <w:sz w:val="21"/>
        </w:rPr>
      </w:pPr>
    </w:p>
    <w:p>
      <w:pPr>
        <w:pStyle w:val="BodyText"/>
        <w:spacing w:line="237" w:lineRule="auto"/>
        <w:ind w:left="120" w:right="151"/>
        <w:jc w:val="both"/>
      </w:pPr>
      <w:r>
        <w:rPr/>
        <w:t>As</w:t>
      </w:r>
      <w:r>
        <w:rPr>
          <w:spacing w:val="-15"/>
        </w:rPr>
        <w:t> </w:t>
      </w:r>
      <w:r>
        <w:rPr/>
        <w:t>Israel</w:t>
      </w:r>
      <w:r>
        <w:rPr>
          <w:spacing w:val="-15"/>
        </w:rPr>
        <w:t> </w:t>
      </w:r>
      <w:r>
        <w:rPr/>
        <w:t>entered</w:t>
      </w:r>
      <w:r>
        <w:rPr>
          <w:spacing w:val="-15"/>
        </w:rPr>
        <w:t> </w:t>
      </w:r>
      <w:r>
        <w:rPr/>
        <w:t>the</w:t>
      </w:r>
      <w:r>
        <w:rPr>
          <w:spacing w:val="-15"/>
        </w:rPr>
        <w:t> </w:t>
      </w:r>
      <w:r>
        <w:rPr/>
        <w:t>period</w:t>
      </w:r>
      <w:r>
        <w:rPr>
          <w:spacing w:val="-15"/>
        </w:rPr>
        <w:t> </w:t>
      </w:r>
      <w:r>
        <w:rPr/>
        <w:t>where</w:t>
      </w:r>
      <w:r>
        <w:rPr>
          <w:spacing w:val="-15"/>
        </w:rPr>
        <w:t> </w:t>
      </w:r>
      <w:r>
        <w:rPr/>
        <w:t>it</w:t>
      </w:r>
      <w:r>
        <w:rPr>
          <w:spacing w:val="-15"/>
        </w:rPr>
        <w:t> </w:t>
      </w:r>
      <w:r>
        <w:rPr/>
        <w:t>celebrates</w:t>
      </w:r>
      <w:r>
        <w:rPr>
          <w:spacing w:val="-15"/>
        </w:rPr>
        <w:t> </w:t>
      </w:r>
      <w:r>
        <w:rPr/>
        <w:t>the</w:t>
      </w:r>
      <w:r>
        <w:rPr>
          <w:spacing w:val="-15"/>
        </w:rPr>
        <w:t> </w:t>
      </w:r>
      <w:r>
        <w:rPr/>
        <w:t>liberation</w:t>
      </w:r>
      <w:r>
        <w:rPr>
          <w:spacing w:val="-15"/>
        </w:rPr>
        <w:t> </w:t>
      </w:r>
      <w:r>
        <w:rPr/>
        <w:t>of</w:t>
      </w:r>
      <w:r>
        <w:rPr>
          <w:spacing w:val="-15"/>
        </w:rPr>
        <w:t> </w:t>
      </w:r>
      <w:r>
        <w:rPr/>
        <w:t>Jerusalem</w:t>
      </w:r>
      <w:r>
        <w:rPr>
          <w:spacing w:val="-15"/>
        </w:rPr>
        <w:t> </w:t>
      </w:r>
      <w:r>
        <w:rPr/>
        <w:t>and</w:t>
      </w:r>
      <w:r>
        <w:rPr>
          <w:spacing w:val="-15"/>
        </w:rPr>
        <w:t> </w:t>
      </w:r>
      <w:r>
        <w:rPr/>
        <w:t>Shavuot</w:t>
      </w:r>
      <w:r>
        <w:rPr>
          <w:spacing w:val="-15"/>
        </w:rPr>
        <w:t> </w:t>
      </w:r>
      <w:r>
        <w:rPr/>
        <w:t>(Pentecost)</w:t>
      </w:r>
      <w:r>
        <w:rPr>
          <w:spacing w:val="-15"/>
        </w:rPr>
        <w:t> </w:t>
      </w:r>
      <w:r>
        <w:rPr/>
        <w:t>within</w:t>
      </w:r>
      <w:r>
        <w:rPr>
          <w:spacing w:val="-15"/>
        </w:rPr>
        <w:t> </w:t>
      </w:r>
      <w:r>
        <w:rPr/>
        <w:t>the </w:t>
      </w:r>
      <w:r>
        <w:rPr>
          <w:spacing w:val="1"/>
        </w:rPr>
        <w:t>space </w:t>
      </w:r>
      <w:r>
        <w:rPr/>
        <w:t>of 2 </w:t>
      </w:r>
      <w:r>
        <w:rPr>
          <w:spacing w:val="1"/>
        </w:rPr>
        <w:t>weeks, rocket </w:t>
      </w:r>
      <w:r>
        <w:rPr/>
        <w:t>fire </w:t>
      </w:r>
      <w:r>
        <w:rPr>
          <w:spacing w:val="1"/>
        </w:rPr>
        <w:t>resumed from terrorist cells </w:t>
      </w:r>
      <w:r>
        <w:rPr/>
        <w:t>in </w:t>
      </w:r>
      <w:r>
        <w:rPr>
          <w:spacing w:val="1"/>
        </w:rPr>
        <w:t>Gaza. This also happened </w:t>
      </w:r>
      <w:r>
        <w:rPr/>
        <w:t>to be </w:t>
      </w:r>
      <w:r>
        <w:rPr>
          <w:spacing w:val="1"/>
        </w:rPr>
        <w:t>within </w:t>
      </w:r>
      <w:r>
        <w:rPr>
          <w:spacing w:val="2"/>
        </w:rPr>
        <w:t>the </w:t>
      </w:r>
      <w:r>
        <w:rPr/>
        <w:t>Ramadan observances of Islam. Financed by the regime in Iran both Hamas/Jihad now have longer-range missile capability and are able to menace communities that had not been as vulnerable in the past. This includes</w:t>
      </w:r>
      <w:r>
        <w:rPr>
          <w:spacing w:val="-10"/>
        </w:rPr>
        <w:t> </w:t>
      </w:r>
      <w:r>
        <w:rPr/>
        <w:t>areas</w:t>
      </w:r>
      <w:r>
        <w:rPr>
          <w:spacing w:val="-10"/>
        </w:rPr>
        <w:t> </w:t>
      </w:r>
      <w:r>
        <w:rPr/>
        <w:t>in</w:t>
      </w:r>
      <w:r>
        <w:rPr>
          <w:spacing w:val="-10"/>
        </w:rPr>
        <w:t> </w:t>
      </w:r>
      <w:r>
        <w:rPr/>
        <w:t>and</w:t>
      </w:r>
      <w:r>
        <w:rPr>
          <w:spacing w:val="-10"/>
        </w:rPr>
        <w:t> </w:t>
      </w:r>
      <w:r>
        <w:rPr/>
        <w:t>around</w:t>
      </w:r>
      <w:r>
        <w:rPr>
          <w:spacing w:val="-13"/>
        </w:rPr>
        <w:t> </w:t>
      </w:r>
      <w:r>
        <w:rPr>
          <w:spacing w:val="-9"/>
        </w:rPr>
        <w:t>Tel</w:t>
      </w:r>
      <w:r>
        <w:rPr>
          <w:spacing w:val="-22"/>
        </w:rPr>
        <w:t> </w:t>
      </w:r>
      <w:r>
        <w:rPr/>
        <w:t>Aviv</w:t>
      </w:r>
      <w:r>
        <w:rPr>
          <w:spacing w:val="-10"/>
        </w:rPr>
        <w:t> </w:t>
      </w:r>
      <w:r>
        <w:rPr/>
        <w:t>and</w:t>
      </w:r>
      <w:r>
        <w:rPr>
          <w:spacing w:val="-10"/>
        </w:rPr>
        <w:t> </w:t>
      </w:r>
      <w:r>
        <w:rPr/>
        <w:t>even</w:t>
      </w:r>
      <w:r>
        <w:rPr>
          <w:spacing w:val="-10"/>
        </w:rPr>
        <w:t> </w:t>
      </w:r>
      <w:r>
        <w:rPr/>
        <w:t>Jerusalem</w:t>
      </w:r>
      <w:r>
        <w:rPr>
          <w:spacing w:val="-10"/>
        </w:rPr>
        <w:t> </w:t>
      </w:r>
      <w:r>
        <w:rPr/>
        <w:t>on</w:t>
      </w:r>
      <w:r>
        <w:rPr>
          <w:spacing w:val="-10"/>
        </w:rPr>
        <w:t> </w:t>
      </w:r>
      <w:r>
        <w:rPr/>
        <w:t>Jerusalem</w:t>
      </w:r>
      <w:r>
        <w:rPr>
          <w:spacing w:val="-10"/>
        </w:rPr>
        <w:t> </w:t>
      </w:r>
      <w:r>
        <w:rPr>
          <w:spacing w:val="-5"/>
        </w:rPr>
        <w:t>Day,</w:t>
      </w:r>
      <w:r>
        <w:rPr>
          <w:spacing w:val="-10"/>
        </w:rPr>
        <w:t> </w:t>
      </w:r>
      <w:r>
        <w:rPr/>
        <w:t>which</w:t>
      </w:r>
      <w:r>
        <w:rPr>
          <w:spacing w:val="-10"/>
        </w:rPr>
        <w:t> </w:t>
      </w:r>
      <w:r>
        <w:rPr/>
        <w:t>was</w:t>
      </w:r>
      <w:r>
        <w:rPr>
          <w:spacing w:val="-10"/>
        </w:rPr>
        <w:t> </w:t>
      </w:r>
      <w:r>
        <w:rPr/>
        <w:t>seen</w:t>
      </w:r>
      <w:r>
        <w:rPr>
          <w:spacing w:val="-10"/>
        </w:rPr>
        <w:t> </w:t>
      </w:r>
      <w:r>
        <w:rPr/>
        <w:t>as</w:t>
      </w:r>
      <w:r>
        <w:rPr>
          <w:spacing w:val="-10"/>
        </w:rPr>
        <w:t> </w:t>
      </w:r>
      <w:r>
        <w:rPr/>
        <w:t>a</w:t>
      </w:r>
      <w:r>
        <w:rPr>
          <w:spacing w:val="-10"/>
        </w:rPr>
        <w:t> </w:t>
      </w:r>
      <w:r>
        <w:rPr/>
        <w:t>redline</w:t>
      </w:r>
      <w:r>
        <w:rPr>
          <w:spacing w:val="-10"/>
        </w:rPr>
        <w:t> </w:t>
      </w:r>
      <w:r>
        <w:rPr/>
        <w:t>for most</w:t>
      </w:r>
      <w:r>
        <w:rPr>
          <w:spacing w:val="-10"/>
        </w:rPr>
        <w:t> </w:t>
      </w:r>
      <w:r>
        <w:rPr/>
        <w:t>Israeli</w:t>
      </w:r>
      <w:r>
        <w:rPr>
          <w:spacing w:val="-10"/>
        </w:rPr>
        <w:t> </w:t>
      </w:r>
      <w:r>
        <w:rPr/>
        <w:t>leaders.</w:t>
      </w:r>
      <w:r>
        <w:rPr>
          <w:spacing w:val="-13"/>
        </w:rPr>
        <w:t> </w:t>
      </w:r>
      <w:r>
        <w:rPr>
          <w:spacing w:val="-4"/>
        </w:rPr>
        <w:t>Terrorist</w:t>
      </w:r>
      <w:r>
        <w:rPr>
          <w:spacing w:val="-10"/>
        </w:rPr>
        <w:t> </w:t>
      </w:r>
      <w:r>
        <w:rPr/>
        <w:t>cells</w:t>
      </w:r>
      <w:r>
        <w:rPr>
          <w:spacing w:val="-10"/>
        </w:rPr>
        <w:t> </w:t>
      </w:r>
      <w:r>
        <w:rPr/>
        <w:t>sought</w:t>
      </w:r>
      <w:r>
        <w:rPr>
          <w:spacing w:val="-10"/>
        </w:rPr>
        <w:t> </w:t>
      </w:r>
      <w:r>
        <w:rPr/>
        <w:t>to</w:t>
      </w:r>
      <w:r>
        <w:rPr>
          <w:spacing w:val="-10"/>
        </w:rPr>
        <w:t> </w:t>
      </w:r>
      <w:r>
        <w:rPr/>
        <w:t>overwhelm</w:t>
      </w:r>
      <w:r>
        <w:rPr>
          <w:spacing w:val="-10"/>
        </w:rPr>
        <w:t> </w:t>
      </w:r>
      <w:r>
        <w:rPr/>
        <w:t>the</w:t>
      </w:r>
      <w:r>
        <w:rPr>
          <w:spacing w:val="-10"/>
        </w:rPr>
        <w:t> </w:t>
      </w:r>
      <w:r>
        <w:rPr/>
        <w:t>Iron</w:t>
      </w:r>
      <w:r>
        <w:rPr>
          <w:spacing w:val="-10"/>
        </w:rPr>
        <w:t> </w:t>
      </w:r>
      <w:r>
        <w:rPr/>
        <w:t>Dome</w:t>
      </w:r>
      <w:r>
        <w:rPr>
          <w:spacing w:val="-10"/>
        </w:rPr>
        <w:t> </w:t>
      </w:r>
      <w:r>
        <w:rPr/>
        <w:t>Defense</w:t>
      </w:r>
      <w:r>
        <w:rPr>
          <w:spacing w:val="-10"/>
        </w:rPr>
        <w:t> </w:t>
      </w:r>
      <w:r>
        <w:rPr/>
        <w:t>system</w:t>
      </w:r>
      <w:r>
        <w:rPr>
          <w:spacing w:val="-10"/>
        </w:rPr>
        <w:t> </w:t>
      </w:r>
      <w:r>
        <w:rPr/>
        <w:t>with</w:t>
      </w:r>
      <w:r>
        <w:rPr>
          <w:spacing w:val="-10"/>
        </w:rPr>
        <w:t> </w:t>
      </w:r>
      <w:r>
        <w:rPr/>
        <w:t>sheer</w:t>
      </w:r>
      <w:r>
        <w:rPr>
          <w:spacing w:val="-10"/>
        </w:rPr>
        <w:t> </w:t>
      </w:r>
      <w:r>
        <w:rPr/>
        <w:t>quantity</w:t>
      </w:r>
      <w:r>
        <w:rPr>
          <w:spacing w:val="-10"/>
        </w:rPr>
        <w:t> </w:t>
      </w:r>
      <w:r>
        <w:rPr/>
        <w:t>of</w:t>
      </w:r>
    </w:p>
    <w:p>
      <w:pPr>
        <w:spacing w:after="0" w:line="237" w:lineRule="auto"/>
        <w:jc w:val="both"/>
        <w:sectPr>
          <w:type w:val="continuous"/>
          <w:pgSz w:w="11910" w:h="16840"/>
          <w:pgMar w:top="0" w:bottom="280" w:left="560" w:right="520"/>
        </w:sectPr>
      </w:pPr>
    </w:p>
    <w:p>
      <w:pPr>
        <w:pStyle w:val="BodyText"/>
        <w:spacing w:line="237" w:lineRule="auto" w:before="68"/>
        <w:ind w:left="120" w:right="152"/>
        <w:jc w:val="both"/>
      </w:pPr>
      <w:r>
        <w:rPr/>
        <w:t>salvos being shot at civilian areas, while the precision conscious Israeli Air Force targeted launchers and </w:t>
      </w:r>
      <w:r>
        <w:rPr>
          <w:spacing w:val="1"/>
        </w:rPr>
        <w:t>weapons depots located within Gaza. </w:t>
      </w:r>
      <w:r>
        <w:rPr/>
        <w:t>The </w:t>
      </w:r>
      <w:r>
        <w:rPr>
          <w:spacing w:val="1"/>
        </w:rPr>
        <w:t>typical battle </w:t>
      </w:r>
      <w:r>
        <w:rPr/>
        <w:t>for the </w:t>
      </w:r>
      <w:r>
        <w:rPr>
          <w:spacing w:val="1"/>
        </w:rPr>
        <w:t>narrative </w:t>
      </w:r>
      <w:r>
        <w:rPr/>
        <w:t>in the </w:t>
      </w:r>
      <w:r>
        <w:rPr>
          <w:spacing w:val="1"/>
        </w:rPr>
        <w:t>international arena </w:t>
      </w:r>
      <w:r>
        <w:rPr>
          <w:spacing w:val="2"/>
        </w:rPr>
        <w:t>has </w:t>
      </w:r>
      <w:r>
        <w:rPr/>
        <w:t>proliferated, as to who is to blame for the conflict, who is inflicting the most damage, and who can claim the moral high ground regarding being discriminant in targets. </w:t>
      </w:r>
      <w:r>
        <w:rPr>
          <w:spacing w:val="-4"/>
        </w:rPr>
        <w:t>Two </w:t>
      </w:r>
      <w:r>
        <w:rPr/>
        <w:t>notable things distinguish this flare up from past</w:t>
      </w:r>
      <w:r>
        <w:rPr>
          <w:spacing w:val="-15"/>
        </w:rPr>
        <w:t> </w:t>
      </w:r>
      <w:r>
        <w:rPr/>
        <w:t>ones:</w:t>
      </w:r>
      <w:r>
        <w:rPr>
          <w:spacing w:val="-19"/>
        </w:rPr>
        <w:t> </w:t>
      </w:r>
      <w:r>
        <w:rPr/>
        <w:t>This</w:t>
      </w:r>
      <w:r>
        <w:rPr>
          <w:spacing w:val="-15"/>
        </w:rPr>
        <w:t> </w:t>
      </w:r>
      <w:r>
        <w:rPr/>
        <w:t>time</w:t>
      </w:r>
      <w:r>
        <w:rPr>
          <w:spacing w:val="-15"/>
        </w:rPr>
        <w:t> </w:t>
      </w:r>
      <w:r>
        <w:rPr/>
        <w:t>Israel</w:t>
      </w:r>
      <w:r>
        <w:rPr>
          <w:spacing w:val="-15"/>
        </w:rPr>
        <w:t> </w:t>
      </w:r>
      <w:r>
        <w:rPr/>
        <w:t>will</w:t>
      </w:r>
      <w:r>
        <w:rPr>
          <w:spacing w:val="-15"/>
        </w:rPr>
        <w:t> </w:t>
      </w:r>
      <w:r>
        <w:rPr/>
        <w:t>not</w:t>
      </w:r>
      <w:r>
        <w:rPr>
          <w:spacing w:val="-15"/>
        </w:rPr>
        <w:t> </w:t>
      </w:r>
      <w:r>
        <w:rPr/>
        <w:t>cease</w:t>
      </w:r>
      <w:r>
        <w:rPr>
          <w:spacing w:val="-15"/>
        </w:rPr>
        <w:t> </w:t>
      </w:r>
      <w:r>
        <w:rPr/>
        <w:t>operations</w:t>
      </w:r>
      <w:r>
        <w:rPr>
          <w:spacing w:val="-15"/>
        </w:rPr>
        <w:t> </w:t>
      </w:r>
      <w:r>
        <w:rPr/>
        <w:t>just</w:t>
      </w:r>
      <w:r>
        <w:rPr>
          <w:spacing w:val="-15"/>
        </w:rPr>
        <w:t> </w:t>
      </w:r>
      <w:r>
        <w:rPr/>
        <w:t>because</w:t>
      </w:r>
      <w:r>
        <w:rPr>
          <w:spacing w:val="-15"/>
        </w:rPr>
        <w:t> </w:t>
      </w:r>
      <w:r>
        <w:rPr/>
        <w:t>the</w:t>
      </w:r>
      <w:r>
        <w:rPr>
          <w:spacing w:val="-15"/>
        </w:rPr>
        <w:t> </w:t>
      </w:r>
      <w:r>
        <w:rPr/>
        <w:t>terrorists</w:t>
      </w:r>
      <w:r>
        <w:rPr>
          <w:spacing w:val="-15"/>
        </w:rPr>
        <w:t> </w:t>
      </w:r>
      <w:r>
        <w:rPr/>
        <w:t>cease</w:t>
      </w:r>
      <w:r>
        <w:rPr>
          <w:spacing w:val="-15"/>
        </w:rPr>
        <w:t> </w:t>
      </w:r>
      <w:r>
        <w:rPr/>
        <w:t>fire</w:t>
      </w:r>
      <w:r>
        <w:rPr>
          <w:spacing w:val="-15"/>
        </w:rPr>
        <w:t> </w:t>
      </w:r>
      <w:r>
        <w:rPr>
          <w:spacing w:val="-3"/>
        </w:rPr>
        <w:t>temporarily,</w:t>
      </w:r>
      <w:r>
        <w:rPr>
          <w:spacing w:val="-15"/>
        </w:rPr>
        <w:t> </w:t>
      </w:r>
      <w:r>
        <w:rPr/>
        <w:t>and</w:t>
      </w:r>
      <w:r>
        <w:rPr>
          <w:spacing w:val="-15"/>
        </w:rPr>
        <w:t> </w:t>
      </w:r>
      <w:r>
        <w:rPr/>
        <w:t>even more</w:t>
      </w:r>
      <w:r>
        <w:rPr>
          <w:spacing w:val="-13"/>
        </w:rPr>
        <w:t> </w:t>
      </w:r>
      <w:r>
        <w:rPr>
          <w:spacing w:val="-3"/>
        </w:rPr>
        <w:t>interestingly,</w:t>
      </w:r>
      <w:r>
        <w:rPr>
          <w:spacing w:val="-13"/>
        </w:rPr>
        <w:t> </w:t>
      </w:r>
      <w:r>
        <w:rPr/>
        <w:t>someone</w:t>
      </w:r>
      <w:r>
        <w:rPr>
          <w:spacing w:val="-13"/>
        </w:rPr>
        <w:t> </w:t>
      </w:r>
      <w:r>
        <w:rPr/>
        <w:t>“leaked”</w:t>
      </w:r>
      <w:r>
        <w:rPr>
          <w:spacing w:val="-13"/>
        </w:rPr>
        <w:t> </w:t>
      </w:r>
      <w:r>
        <w:rPr/>
        <w:t>that</w:t>
      </w:r>
      <w:r>
        <w:rPr>
          <w:spacing w:val="-13"/>
        </w:rPr>
        <w:t> </w:t>
      </w:r>
      <w:r>
        <w:rPr/>
        <w:t>the</w:t>
      </w:r>
      <w:r>
        <w:rPr>
          <w:spacing w:val="-13"/>
        </w:rPr>
        <w:t> </w:t>
      </w:r>
      <w:r>
        <w:rPr/>
        <w:t>decision</w:t>
      </w:r>
      <w:r>
        <w:rPr>
          <w:spacing w:val="-13"/>
        </w:rPr>
        <w:t> </w:t>
      </w:r>
      <w:r>
        <w:rPr/>
        <w:t>had</w:t>
      </w:r>
      <w:r>
        <w:rPr>
          <w:spacing w:val="-13"/>
        </w:rPr>
        <w:t> </w:t>
      </w:r>
      <w:r>
        <w:rPr/>
        <w:t>been</w:t>
      </w:r>
      <w:r>
        <w:rPr>
          <w:spacing w:val="-13"/>
        </w:rPr>
        <w:t> </w:t>
      </w:r>
      <w:r>
        <w:rPr/>
        <w:t>made</w:t>
      </w:r>
      <w:r>
        <w:rPr>
          <w:spacing w:val="-13"/>
        </w:rPr>
        <w:t> </w:t>
      </w:r>
      <w:r>
        <w:rPr/>
        <w:t>for</w:t>
      </w:r>
      <w:r>
        <w:rPr>
          <w:spacing w:val="-13"/>
        </w:rPr>
        <w:t> </w:t>
      </w:r>
      <w:r>
        <w:rPr/>
        <w:t>a</w:t>
      </w:r>
      <w:r>
        <w:rPr>
          <w:spacing w:val="-13"/>
        </w:rPr>
        <w:t> </w:t>
      </w:r>
      <w:r>
        <w:rPr/>
        <w:t>ground</w:t>
      </w:r>
      <w:r>
        <w:rPr>
          <w:spacing w:val="-13"/>
        </w:rPr>
        <w:t> </w:t>
      </w:r>
      <w:r>
        <w:rPr/>
        <w:t>incursion</w:t>
      </w:r>
      <w:r>
        <w:rPr>
          <w:spacing w:val="-13"/>
        </w:rPr>
        <w:t> </w:t>
      </w:r>
      <w:r>
        <w:rPr/>
        <w:t>into</w:t>
      </w:r>
      <w:r>
        <w:rPr>
          <w:spacing w:val="-13"/>
        </w:rPr>
        <w:t> </w:t>
      </w:r>
      <w:r>
        <w:rPr/>
        <w:t>Gaza</w:t>
      </w:r>
      <w:r>
        <w:rPr>
          <w:spacing w:val="-13"/>
        </w:rPr>
        <w:t> </w:t>
      </w:r>
      <w:r>
        <w:rPr/>
        <w:t>by</w:t>
      </w:r>
      <w:r>
        <w:rPr>
          <w:spacing w:val="-13"/>
        </w:rPr>
        <w:t> </w:t>
      </w:r>
      <w:r>
        <w:rPr/>
        <w:t>the </w:t>
      </w:r>
      <w:r>
        <w:rPr>
          <w:spacing w:val="-7"/>
        </w:rPr>
        <w:t>IDF,</w:t>
      </w:r>
      <w:r>
        <w:rPr>
          <w:spacing w:val="-4"/>
        </w:rPr>
        <w:t> </w:t>
      </w:r>
      <w:r>
        <w:rPr/>
        <w:t>which</w:t>
      </w:r>
      <w:r>
        <w:rPr>
          <w:spacing w:val="-4"/>
        </w:rPr>
        <w:t> </w:t>
      </w:r>
      <w:r>
        <w:rPr/>
        <w:t>caused</w:t>
      </w:r>
      <w:r>
        <w:rPr>
          <w:spacing w:val="-4"/>
        </w:rPr>
        <w:t> </w:t>
      </w:r>
      <w:r>
        <w:rPr/>
        <w:t>Palestinian</w:t>
      </w:r>
      <w:r>
        <w:rPr>
          <w:spacing w:val="-4"/>
        </w:rPr>
        <w:t> </w:t>
      </w:r>
      <w:r>
        <w:rPr/>
        <w:t>combatants</w:t>
      </w:r>
      <w:r>
        <w:rPr>
          <w:spacing w:val="-4"/>
        </w:rPr>
        <w:t> </w:t>
      </w:r>
      <w:r>
        <w:rPr/>
        <w:t>to</w:t>
      </w:r>
      <w:r>
        <w:rPr>
          <w:spacing w:val="-4"/>
        </w:rPr>
        <w:t> </w:t>
      </w:r>
      <w:r>
        <w:rPr/>
        <w:t>furrow</w:t>
      </w:r>
      <w:r>
        <w:rPr>
          <w:spacing w:val="-4"/>
        </w:rPr>
        <w:t> </w:t>
      </w:r>
      <w:r>
        <w:rPr/>
        <w:t>into</w:t>
      </w:r>
      <w:r>
        <w:rPr>
          <w:spacing w:val="-4"/>
        </w:rPr>
        <w:t> </w:t>
      </w:r>
      <w:r>
        <w:rPr/>
        <w:t>the</w:t>
      </w:r>
      <w:r>
        <w:rPr>
          <w:spacing w:val="-4"/>
        </w:rPr>
        <w:t> </w:t>
      </w:r>
      <w:r>
        <w:rPr/>
        <w:t>tunnel</w:t>
      </w:r>
      <w:r>
        <w:rPr>
          <w:spacing w:val="-4"/>
        </w:rPr>
        <w:t> </w:t>
      </w:r>
      <w:r>
        <w:rPr/>
        <w:t>structure</w:t>
      </w:r>
      <w:r>
        <w:rPr>
          <w:spacing w:val="-4"/>
        </w:rPr>
        <w:t> </w:t>
      </w:r>
      <w:r>
        <w:rPr/>
        <w:t>under</w:t>
      </w:r>
      <w:r>
        <w:rPr>
          <w:spacing w:val="-4"/>
        </w:rPr>
        <w:t> </w:t>
      </w:r>
      <w:r>
        <w:rPr/>
        <w:t>the</w:t>
      </w:r>
      <w:r>
        <w:rPr>
          <w:spacing w:val="-4"/>
        </w:rPr>
        <w:t> </w:t>
      </w:r>
      <w:r>
        <w:rPr/>
        <w:t>land.</w:t>
      </w:r>
      <w:r>
        <w:rPr>
          <w:spacing w:val="-16"/>
        </w:rPr>
        <w:t> </w:t>
      </w:r>
      <w:r>
        <w:rPr/>
        <w:t>At</w:t>
      </w:r>
      <w:r>
        <w:rPr>
          <w:spacing w:val="-5"/>
        </w:rPr>
        <w:t> </w:t>
      </w:r>
      <w:r>
        <w:rPr/>
        <w:t>that</w:t>
      </w:r>
      <w:r>
        <w:rPr>
          <w:spacing w:val="-4"/>
        </w:rPr>
        <w:t> </w:t>
      </w:r>
      <w:r>
        <w:rPr/>
        <w:t>point,</w:t>
      </w:r>
      <w:r>
        <w:rPr>
          <w:spacing w:val="-4"/>
        </w:rPr>
        <w:t> </w:t>
      </w:r>
      <w:r>
        <w:rPr/>
        <w:t>the Israeli Air Force targeted the tunnels; the misdirect seems to have been deliberate, perhaps acknowledging the effect media may have on outcomes and strategy, based on how readily available information is on the world wide</w:t>
      </w:r>
      <w:r>
        <w:rPr>
          <w:spacing w:val="-3"/>
        </w:rPr>
        <w:t> </w:t>
      </w:r>
      <w:r>
        <w:rPr/>
        <w:t>web.</w:t>
      </w:r>
    </w:p>
    <w:p>
      <w:pPr>
        <w:pStyle w:val="BodyText"/>
        <w:spacing w:before="11"/>
        <w:rPr>
          <w:sz w:val="13"/>
        </w:rPr>
      </w:pPr>
      <w:r>
        <w:rPr/>
        <w:drawing>
          <wp:anchor distT="0" distB="0" distL="0" distR="0" allowOverlap="1" layoutInCell="1" locked="0" behindDoc="0" simplePos="0" relativeHeight="1168">
            <wp:simplePos x="0" y="0"/>
            <wp:positionH relativeFrom="page">
              <wp:posOffset>432904</wp:posOffset>
            </wp:positionH>
            <wp:positionV relativeFrom="paragraph">
              <wp:posOffset>126830</wp:posOffset>
            </wp:positionV>
            <wp:extent cx="6642430" cy="2834640"/>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6642430" cy="2834640"/>
                    </a:xfrm>
                    <a:prstGeom prst="rect">
                      <a:avLst/>
                    </a:prstGeom>
                  </pic:spPr>
                </pic:pic>
              </a:graphicData>
            </a:graphic>
          </wp:anchor>
        </w:drawing>
      </w:r>
    </w:p>
    <w:p>
      <w:pPr>
        <w:spacing w:before="107"/>
        <w:ind w:left="120" w:right="0" w:firstLine="0"/>
        <w:jc w:val="both"/>
        <w:rPr>
          <w:i/>
          <w:sz w:val="16"/>
        </w:rPr>
      </w:pPr>
      <w:r>
        <w:rPr>
          <w:rFonts w:ascii="Arial-BoldItalicMT" w:hAnsi="Arial-BoldItalicMT"/>
          <w:b/>
          <w:i/>
          <w:sz w:val="16"/>
        </w:rPr>
        <w:t>The Israel Defense Forces (IDF) operation to strike targets in Hamas’ underground ‘Metro’ tunels network </w:t>
      </w:r>
      <w:r>
        <w:rPr>
          <w:i/>
          <w:sz w:val="16"/>
        </w:rPr>
        <w:t>(YouTube)</w:t>
      </w:r>
    </w:p>
    <w:p>
      <w:pPr>
        <w:pStyle w:val="BodyText"/>
        <w:spacing w:before="5"/>
        <w:rPr>
          <w:i/>
          <w:sz w:val="14"/>
        </w:rPr>
      </w:pPr>
    </w:p>
    <w:p>
      <w:pPr>
        <w:pStyle w:val="Heading2"/>
        <w:spacing w:line="237" w:lineRule="auto"/>
      </w:pPr>
      <w:r>
        <w:rPr/>
        <w:t>“The Philistines were standing on the mountain on one side and Israel was standing on the mountain on the other side, with the valley between them” 1 Samuel 17:3 (Amp).</w:t>
      </w:r>
    </w:p>
    <w:p>
      <w:pPr>
        <w:pStyle w:val="BodyText"/>
        <w:spacing w:before="6"/>
        <w:rPr>
          <w:rFonts w:ascii="Arial-BoldItalicMT"/>
          <w:b/>
          <w:i/>
          <w:sz w:val="21"/>
        </w:rPr>
      </w:pPr>
    </w:p>
    <w:p>
      <w:pPr>
        <w:spacing w:before="0"/>
        <w:ind w:left="120" w:right="0" w:firstLine="0"/>
        <w:jc w:val="left"/>
        <w:rPr>
          <w:rFonts w:ascii="Arial-BoldItalicMT" w:hAnsi="Arial-BoldItalicMT"/>
          <w:b/>
          <w:i/>
          <w:sz w:val="22"/>
        </w:rPr>
      </w:pPr>
      <w:r>
        <w:rPr>
          <w:rFonts w:ascii="Arial-BoldItalicMT" w:hAnsi="Arial-BoldItalicMT"/>
          <w:b/>
          <w:i/>
          <w:sz w:val="22"/>
        </w:rPr>
        <w:t>“The Philistines again made a raid in the valley” 1 Chronicles 14:13 (Amp).</w:t>
      </w:r>
    </w:p>
    <w:p>
      <w:pPr>
        <w:pStyle w:val="BodyText"/>
        <w:spacing w:before="1"/>
        <w:rPr>
          <w:rFonts w:ascii="Arial-BoldItalicMT"/>
          <w:b/>
          <w:i/>
          <w:sz w:val="35"/>
        </w:rPr>
      </w:pPr>
    </w:p>
    <w:p>
      <w:pPr>
        <w:spacing w:before="0"/>
        <w:ind w:left="120" w:right="0" w:firstLine="0"/>
        <w:jc w:val="left"/>
        <w:rPr>
          <w:b/>
          <w:sz w:val="32"/>
        </w:rPr>
      </w:pPr>
      <w:r>
        <w:rPr>
          <w:b/>
          <w:sz w:val="32"/>
        </w:rPr>
        <w:t>Always Adding Chapters</w:t>
      </w:r>
    </w:p>
    <w:p>
      <w:pPr>
        <w:pStyle w:val="BodyText"/>
        <w:spacing w:line="237" w:lineRule="auto" w:before="228"/>
        <w:ind w:left="120" w:right="152"/>
        <w:jc w:val="both"/>
      </w:pPr>
      <w:r>
        <w:rPr/>
        <w:t>Bible scholars are aware that Rome was the one that named the land, which composes much of Israel, as “Philistina,” to mock the conquered Jewish populations with the name of its most obstinate and persistent adversary, the Philistines. The area remained Palestine and those who inhabited it prior to the modern age were referred to as Palestinian Jews and Palestinian Arabs. However, due to Pan-Arabic nationalism and radical</w:t>
      </w:r>
      <w:r>
        <w:rPr>
          <w:spacing w:val="-8"/>
        </w:rPr>
        <w:t> </w:t>
      </w:r>
      <w:r>
        <w:rPr/>
        <w:t>Islam’s</w:t>
      </w:r>
      <w:r>
        <w:rPr>
          <w:spacing w:val="-9"/>
        </w:rPr>
        <w:t> </w:t>
      </w:r>
      <w:r>
        <w:rPr/>
        <w:t>need</w:t>
      </w:r>
      <w:r>
        <w:rPr>
          <w:spacing w:val="-9"/>
        </w:rPr>
        <w:t> </w:t>
      </w:r>
      <w:r>
        <w:rPr/>
        <w:t>for</w:t>
      </w:r>
      <w:r>
        <w:rPr>
          <w:spacing w:val="-9"/>
        </w:rPr>
        <w:t> </w:t>
      </w:r>
      <w:r>
        <w:rPr/>
        <w:t>a</w:t>
      </w:r>
      <w:r>
        <w:rPr>
          <w:spacing w:val="-9"/>
        </w:rPr>
        <w:t> </w:t>
      </w:r>
      <w:r>
        <w:rPr/>
        <w:t>common</w:t>
      </w:r>
      <w:r>
        <w:rPr>
          <w:spacing w:val="-8"/>
        </w:rPr>
        <w:t> </w:t>
      </w:r>
      <w:r>
        <w:rPr/>
        <w:t>rallying</w:t>
      </w:r>
      <w:r>
        <w:rPr>
          <w:spacing w:val="-8"/>
        </w:rPr>
        <w:t> </w:t>
      </w:r>
      <w:r>
        <w:rPr/>
        <w:t>point</w:t>
      </w:r>
      <w:r>
        <w:rPr>
          <w:spacing w:val="-9"/>
        </w:rPr>
        <w:t> </w:t>
      </w:r>
      <w:r>
        <w:rPr/>
        <w:t>to</w:t>
      </w:r>
      <w:r>
        <w:rPr>
          <w:spacing w:val="-9"/>
        </w:rPr>
        <w:t> </w:t>
      </w:r>
      <w:r>
        <w:rPr/>
        <w:t>justify</w:t>
      </w:r>
      <w:r>
        <w:rPr>
          <w:spacing w:val="-9"/>
        </w:rPr>
        <w:t> </w:t>
      </w:r>
      <w:r>
        <w:rPr/>
        <w:t>opposition</w:t>
      </w:r>
      <w:r>
        <w:rPr>
          <w:spacing w:val="-8"/>
        </w:rPr>
        <w:t> </w:t>
      </w:r>
      <w:r>
        <w:rPr/>
        <w:t>to</w:t>
      </w:r>
      <w:r>
        <w:rPr>
          <w:spacing w:val="-9"/>
        </w:rPr>
        <w:t> </w:t>
      </w:r>
      <w:r>
        <w:rPr/>
        <w:t>the</w:t>
      </w:r>
      <w:r>
        <w:rPr>
          <w:spacing w:val="-8"/>
        </w:rPr>
        <w:t> </w:t>
      </w:r>
      <w:r>
        <w:rPr/>
        <w:t>modern</w:t>
      </w:r>
      <w:r>
        <w:rPr>
          <w:spacing w:val="-8"/>
        </w:rPr>
        <w:t> </w:t>
      </w:r>
      <w:r>
        <w:rPr/>
        <w:t>Jewish</w:t>
      </w:r>
      <w:r>
        <w:rPr>
          <w:spacing w:val="-8"/>
        </w:rPr>
        <w:t> </w:t>
      </w:r>
      <w:r>
        <w:rPr/>
        <w:t>state,</w:t>
      </w:r>
      <w:r>
        <w:rPr>
          <w:spacing w:val="-9"/>
        </w:rPr>
        <w:t> </w:t>
      </w:r>
      <w:r>
        <w:rPr/>
        <w:t>“Palestinian” became associated only with those of Arab descent who inhabited the land. The same dynamic enmity for Jews was primed in this population, even though they may or may not be descended from the Philistines in </w:t>
      </w:r>
      <w:r>
        <w:rPr>
          <w:spacing w:val="-3"/>
        </w:rPr>
        <w:t>actuality.</w:t>
      </w:r>
      <w:r>
        <w:rPr>
          <w:spacing w:val="-16"/>
        </w:rPr>
        <w:t> </w:t>
      </w:r>
      <w:r>
        <w:rPr/>
        <w:t>As</w:t>
      </w:r>
      <w:r>
        <w:rPr>
          <w:spacing w:val="-4"/>
        </w:rPr>
        <w:t> </w:t>
      </w:r>
      <w:r>
        <w:rPr/>
        <w:t>believers</w:t>
      </w:r>
      <w:r>
        <w:rPr>
          <w:spacing w:val="-4"/>
        </w:rPr>
        <w:t> </w:t>
      </w:r>
      <w:r>
        <w:rPr/>
        <w:t>in</w:t>
      </w:r>
      <w:r>
        <w:rPr>
          <w:spacing w:val="-4"/>
        </w:rPr>
        <w:t> </w:t>
      </w:r>
      <w:r>
        <w:rPr/>
        <w:t>the</w:t>
      </w:r>
      <w:r>
        <w:rPr>
          <w:spacing w:val="-4"/>
        </w:rPr>
        <w:t> </w:t>
      </w:r>
      <w:r>
        <w:rPr/>
        <w:t>Jewish</w:t>
      </w:r>
      <w:r>
        <w:rPr>
          <w:spacing w:val="-4"/>
        </w:rPr>
        <w:t> </w:t>
      </w:r>
      <w:r>
        <w:rPr/>
        <w:t>Messiah,</w:t>
      </w:r>
      <w:r>
        <w:rPr>
          <w:spacing w:val="-4"/>
        </w:rPr>
        <w:t> </w:t>
      </w:r>
      <w:r>
        <w:rPr/>
        <w:t>we</w:t>
      </w:r>
      <w:r>
        <w:rPr>
          <w:spacing w:val="-4"/>
        </w:rPr>
        <w:t> </w:t>
      </w:r>
      <w:r>
        <w:rPr/>
        <w:t>are</w:t>
      </w:r>
      <w:r>
        <w:rPr>
          <w:spacing w:val="-4"/>
        </w:rPr>
        <w:t> </w:t>
      </w:r>
      <w:r>
        <w:rPr/>
        <w:t>aware</w:t>
      </w:r>
      <w:r>
        <w:rPr>
          <w:spacing w:val="-4"/>
        </w:rPr>
        <w:t> </w:t>
      </w:r>
      <w:r>
        <w:rPr/>
        <w:t>that</w:t>
      </w:r>
      <w:r>
        <w:rPr>
          <w:spacing w:val="-4"/>
        </w:rPr>
        <w:t> </w:t>
      </w:r>
      <w:r>
        <w:rPr/>
        <w:t>the</w:t>
      </w:r>
      <w:r>
        <w:rPr>
          <w:spacing w:val="-4"/>
        </w:rPr>
        <w:t> </w:t>
      </w:r>
      <w:r>
        <w:rPr/>
        <w:t>end</w:t>
      </w:r>
      <w:r>
        <w:rPr>
          <w:spacing w:val="-4"/>
        </w:rPr>
        <w:t> </w:t>
      </w:r>
      <w:r>
        <w:rPr/>
        <w:t>of</w:t>
      </w:r>
      <w:r>
        <w:rPr>
          <w:spacing w:val="-4"/>
        </w:rPr>
        <w:t> </w:t>
      </w:r>
      <w:r>
        <w:rPr/>
        <w:t>this</w:t>
      </w:r>
      <w:r>
        <w:rPr>
          <w:spacing w:val="-4"/>
        </w:rPr>
        <w:t> </w:t>
      </w:r>
      <w:r>
        <w:rPr/>
        <w:t>blood</w:t>
      </w:r>
      <w:r>
        <w:rPr>
          <w:spacing w:val="-4"/>
        </w:rPr>
        <w:t> </w:t>
      </w:r>
      <w:r>
        <w:rPr/>
        <w:t>feud</w:t>
      </w:r>
      <w:r>
        <w:rPr>
          <w:spacing w:val="-4"/>
        </w:rPr>
        <w:t> </w:t>
      </w:r>
      <w:r>
        <w:rPr/>
        <w:t>largely</w:t>
      </w:r>
      <w:r>
        <w:rPr>
          <w:spacing w:val="-4"/>
        </w:rPr>
        <w:t> </w:t>
      </w:r>
      <w:r>
        <w:rPr/>
        <w:t>rests</w:t>
      </w:r>
      <w:r>
        <w:rPr>
          <w:spacing w:val="-4"/>
        </w:rPr>
        <w:t> </w:t>
      </w:r>
      <w:r>
        <w:rPr/>
        <w:t>on</w:t>
      </w:r>
      <w:r>
        <w:rPr>
          <w:spacing w:val="-4"/>
        </w:rPr>
        <w:t> </w:t>
      </w:r>
      <w:r>
        <w:rPr/>
        <w:t>an understanding of who </w:t>
      </w:r>
      <w:r>
        <w:rPr>
          <w:spacing w:val="-3"/>
        </w:rPr>
        <w:t>Jesus/Yeshua </w:t>
      </w:r>
      <w:r>
        <w:rPr/>
        <w:t>was….and is. Until that point, we must endure the tug of war over land, rights and religious differences as it plays out. Part 2 of “Old Embers” will focus on the civilian and internal by-product</w:t>
      </w:r>
      <w:r>
        <w:rPr>
          <w:spacing w:val="-10"/>
        </w:rPr>
        <w:t> </w:t>
      </w:r>
      <w:r>
        <w:rPr/>
        <w:t>of</w:t>
      </w:r>
      <w:r>
        <w:rPr>
          <w:spacing w:val="-10"/>
        </w:rPr>
        <w:t> </w:t>
      </w:r>
      <w:r>
        <w:rPr/>
        <w:t>this</w:t>
      </w:r>
      <w:r>
        <w:rPr>
          <w:spacing w:val="-10"/>
        </w:rPr>
        <w:t> </w:t>
      </w:r>
      <w:r>
        <w:rPr/>
        <w:t>conflict</w:t>
      </w:r>
      <w:r>
        <w:rPr>
          <w:spacing w:val="-10"/>
        </w:rPr>
        <w:t> </w:t>
      </w:r>
      <w:r>
        <w:rPr/>
        <w:t>that</w:t>
      </w:r>
      <w:r>
        <w:rPr>
          <w:spacing w:val="-10"/>
        </w:rPr>
        <w:t> </w:t>
      </w:r>
      <w:r>
        <w:rPr/>
        <w:t>may</w:t>
      </w:r>
      <w:r>
        <w:rPr>
          <w:spacing w:val="-10"/>
        </w:rPr>
        <w:t> </w:t>
      </w:r>
      <w:r>
        <w:rPr/>
        <w:t>also</w:t>
      </w:r>
      <w:r>
        <w:rPr>
          <w:spacing w:val="-10"/>
        </w:rPr>
        <w:t> </w:t>
      </w:r>
      <w:r>
        <w:rPr/>
        <w:t>demand</w:t>
      </w:r>
      <w:r>
        <w:rPr>
          <w:spacing w:val="-10"/>
        </w:rPr>
        <w:t> </w:t>
      </w:r>
      <w:r>
        <w:rPr/>
        <w:t>a</w:t>
      </w:r>
      <w:r>
        <w:rPr>
          <w:spacing w:val="-10"/>
        </w:rPr>
        <w:t> </w:t>
      </w:r>
      <w:r>
        <w:rPr/>
        <w:t>supernatural</w:t>
      </w:r>
      <w:r>
        <w:rPr>
          <w:spacing w:val="-10"/>
        </w:rPr>
        <w:t> </w:t>
      </w:r>
      <w:r>
        <w:rPr/>
        <w:t>resolution</w:t>
      </w:r>
      <w:r>
        <w:rPr>
          <w:spacing w:val="-10"/>
        </w:rPr>
        <w:t> </w:t>
      </w:r>
      <w:r>
        <w:rPr/>
        <w:t>by</w:t>
      </w:r>
      <w:r>
        <w:rPr>
          <w:spacing w:val="-10"/>
        </w:rPr>
        <w:t> </w:t>
      </w:r>
      <w:r>
        <w:rPr/>
        <w:t>the</w:t>
      </w:r>
      <w:r>
        <w:rPr>
          <w:spacing w:val="-10"/>
        </w:rPr>
        <w:t> </w:t>
      </w:r>
      <w:r>
        <w:rPr/>
        <w:t>hand</w:t>
      </w:r>
      <w:r>
        <w:rPr>
          <w:spacing w:val="-10"/>
        </w:rPr>
        <w:t> </w:t>
      </w:r>
      <w:r>
        <w:rPr/>
        <w:t>of</w:t>
      </w:r>
      <w:r>
        <w:rPr>
          <w:spacing w:val="-10"/>
        </w:rPr>
        <w:t> </w:t>
      </w:r>
      <w:r>
        <w:rPr/>
        <w:t>the</w:t>
      </w:r>
      <w:r>
        <w:rPr>
          <w:spacing w:val="-10"/>
        </w:rPr>
        <w:t> </w:t>
      </w:r>
      <w:r>
        <w:rPr/>
        <w:t>God</w:t>
      </w:r>
      <w:r>
        <w:rPr>
          <w:spacing w:val="-10"/>
        </w:rPr>
        <w:t> </w:t>
      </w:r>
      <w:r>
        <w:rPr/>
        <w:t>of</w:t>
      </w:r>
      <w:r>
        <w:rPr>
          <w:spacing w:val="-10"/>
        </w:rPr>
        <w:t> </w:t>
      </w:r>
      <w:r>
        <w:rPr/>
        <w:t>Israel;</w:t>
      </w:r>
      <w:r>
        <w:rPr>
          <w:spacing w:val="-10"/>
        </w:rPr>
        <w:t> </w:t>
      </w:r>
      <w:r>
        <w:rPr/>
        <w:t>He is the God of all</w:t>
      </w:r>
      <w:r>
        <w:rPr>
          <w:spacing w:val="-4"/>
        </w:rPr>
        <w:t> </w:t>
      </w:r>
      <w:r>
        <w:rPr/>
        <w:t>creation.</w:t>
      </w:r>
    </w:p>
    <w:p>
      <w:pPr>
        <w:pStyle w:val="BodyText"/>
        <w:spacing w:before="1"/>
        <w:rPr>
          <w:sz w:val="21"/>
        </w:rPr>
      </w:pPr>
    </w:p>
    <w:p>
      <w:pPr>
        <w:pStyle w:val="BodyText"/>
        <w:spacing w:line="251" w:lineRule="exact"/>
        <w:ind w:left="1310"/>
      </w:pPr>
      <w:r>
        <w:rPr/>
        <w:drawing>
          <wp:anchor distT="0" distB="0" distL="0" distR="0" allowOverlap="1" layoutInCell="1" locked="0" behindDoc="0" simplePos="0" relativeHeight="1192">
            <wp:simplePos x="0" y="0"/>
            <wp:positionH relativeFrom="page">
              <wp:posOffset>432003</wp:posOffset>
            </wp:positionH>
            <wp:positionV relativeFrom="paragraph">
              <wp:posOffset>42655</wp:posOffset>
            </wp:positionV>
            <wp:extent cx="684009" cy="793762"/>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684009" cy="793762"/>
                    </a:xfrm>
                    <a:prstGeom prst="rect">
                      <a:avLst/>
                    </a:prstGeom>
                  </pic:spPr>
                </pic:pic>
              </a:graphicData>
            </a:graphic>
          </wp:anchor>
        </w:drawing>
      </w:r>
      <w:r>
        <w:rPr/>
        <w:t>Reporting from Jerusalem,</w:t>
      </w:r>
    </w:p>
    <w:p>
      <w:pPr>
        <w:spacing w:line="251" w:lineRule="exact" w:before="0"/>
        <w:ind w:left="1310" w:right="0" w:firstLine="0"/>
        <w:jc w:val="left"/>
        <w:rPr>
          <w:b/>
          <w:sz w:val="22"/>
        </w:rPr>
      </w:pPr>
      <w:r>
        <w:rPr>
          <w:b/>
          <w:sz w:val="22"/>
        </w:rPr>
        <w:t>Kim S. Brunson</w:t>
      </w:r>
    </w:p>
    <w:sectPr>
      <w:pgSz w:w="11910" w:h="16840"/>
      <w:pgMar w:top="680" w:bottom="280" w:left="56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Arial-BoldItalicMT">
    <w:altName w:val="Arial-BoldItalicMT"/>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120"/>
      <w:outlineLvl w:val="1"/>
    </w:pPr>
    <w:rPr>
      <w:rFonts w:ascii="Arial" w:hAnsi="Arial" w:eastAsia="Arial" w:cs="Arial"/>
      <w:b/>
      <w:bCs/>
      <w:sz w:val="32"/>
      <w:szCs w:val="32"/>
      <w:lang w:val="en-us" w:eastAsia="en-us" w:bidi="en-us"/>
    </w:rPr>
  </w:style>
  <w:style w:styleId="Heading2" w:type="paragraph">
    <w:name w:val="Heading 2"/>
    <w:basedOn w:val="Normal"/>
    <w:uiPriority w:val="1"/>
    <w:qFormat/>
    <w:pPr>
      <w:spacing w:before="95"/>
      <w:ind w:left="120"/>
      <w:outlineLvl w:val="2"/>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feedback@cfijerusalem.org" TargetMode="External"/><Relationship Id="rId8" Type="http://schemas.openxmlformats.org/officeDocument/2006/relationships/hyperlink" Target="http://www.cfijerusalem.org/"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2021-06-16T11:20:34Z</dcterms:created>
  <dcterms:modified xsi:type="dcterms:W3CDTF">2021-06-16T11:20:34Z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2021-06-08T00:00:00Z</vt:filetime>
  </property>
  <property fmtid="{D5CDD505-2E9C-101B-9397-08002B2CF9AE}" pid="3" name="Creator">
    <vt:lpwstr>Adobe InDesign CC 2017 (Macintosh)</vt:lpwstr>
  </property>
  <property fmtid="{D5CDD505-2E9C-101B-9397-08002B2CF9AE}" pid="4" name="LastSaved">
    <vt:filetime>2021-06-16T00:00:00Z</vt:filetime>
  </property>
</Properties>
</file>